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2C5" w:rsidRDefault="002B22C5" w:rsidP="002B22C5">
      <w:pPr>
        <w:ind w:right="-46"/>
        <w:jc w:val="right"/>
        <w:rPr>
          <w:b/>
        </w:rPr>
      </w:pPr>
      <w:r w:rsidRPr="00B5717C">
        <w:rPr>
          <w:b/>
        </w:rPr>
        <w:t xml:space="preserve">Annex </w:t>
      </w:r>
      <w:r>
        <w:rPr>
          <w:b/>
        </w:rPr>
        <w:t>F</w:t>
      </w:r>
    </w:p>
    <w:p w:rsidR="002B22C5" w:rsidRPr="00B5717C" w:rsidRDefault="002B22C5" w:rsidP="002B22C5">
      <w:pPr>
        <w:jc w:val="right"/>
        <w:rPr>
          <w:b/>
        </w:rPr>
      </w:pPr>
    </w:p>
    <w:p w:rsidR="002B22C5" w:rsidRDefault="002B22C5" w:rsidP="002B22C5">
      <w:pPr>
        <w:ind w:right="480"/>
        <w:jc w:val="center"/>
        <w:rPr>
          <w:b/>
          <w:szCs w:val="22"/>
          <w:lang w:val="en-SG"/>
        </w:rPr>
      </w:pPr>
      <w:r>
        <w:rPr>
          <w:b/>
          <w:szCs w:val="22"/>
          <w:lang w:val="en-SG"/>
        </w:rPr>
        <w:t xml:space="preserve">HEALTHIER DRINKS DECLARATION FORM </w:t>
      </w:r>
    </w:p>
    <w:p w:rsidR="002B22C5" w:rsidRDefault="002B22C5" w:rsidP="002B22C5">
      <w:pPr>
        <w:ind w:right="480"/>
        <w:jc w:val="center"/>
        <w:rPr>
          <w:b/>
          <w:szCs w:val="22"/>
          <w:lang w:val="en-SG"/>
        </w:rPr>
      </w:pPr>
    </w:p>
    <w:p w:rsidR="002B22C5" w:rsidRPr="00CD61C1" w:rsidRDefault="002B22C5" w:rsidP="002B22C5">
      <w:pPr>
        <w:jc w:val="center"/>
        <w:rPr>
          <w:b/>
          <w:color w:val="FF0000"/>
          <w:sz w:val="36"/>
        </w:rPr>
      </w:pPr>
      <w:r w:rsidRPr="00CD61C1">
        <w:rPr>
          <w:b/>
          <w:color w:val="FF0000"/>
          <w:sz w:val="36"/>
        </w:rPr>
        <w:t>TO BE FILLED IN BY SUPPLIER/ VENDOR/ TENANT</w:t>
      </w:r>
    </w:p>
    <w:p w:rsidR="002B22C5" w:rsidRPr="00985A26" w:rsidRDefault="002B22C5" w:rsidP="002B22C5">
      <w:pPr>
        <w:jc w:val="center"/>
        <w:rPr>
          <w:b/>
          <w:lang w:val="en-GB"/>
        </w:rPr>
      </w:pPr>
    </w:p>
    <w:p w:rsidR="002B22C5" w:rsidRDefault="002B22C5" w:rsidP="002B22C5">
      <w:pPr>
        <w:jc w:val="both"/>
        <w:rPr>
          <w:lang w:val="en-GB"/>
        </w:rPr>
      </w:pPr>
      <w:r>
        <w:rPr>
          <w:lang w:val="en-GB"/>
        </w:rPr>
        <w:t xml:space="preserve">Under the Healthier Drinks policy, </w:t>
      </w:r>
      <w:r w:rsidRPr="00726780">
        <w:rPr>
          <w:u w:val="single"/>
          <w:lang w:val="en-GB"/>
        </w:rPr>
        <w:t xml:space="preserve">all </w:t>
      </w:r>
      <w:r>
        <w:rPr>
          <w:u w:val="single"/>
          <w:lang w:val="en-GB"/>
        </w:rPr>
        <w:t>drinks</w:t>
      </w:r>
      <w:r w:rsidRPr="00726780">
        <w:rPr>
          <w:u w:val="single"/>
          <w:lang w:val="en-GB"/>
        </w:rPr>
        <w:t xml:space="preserve"> </w:t>
      </w:r>
      <w:r>
        <w:rPr>
          <w:u w:val="single"/>
          <w:lang w:val="en-GB"/>
        </w:rPr>
        <w:t>sold or provided within government premises</w:t>
      </w:r>
      <w:r w:rsidRPr="00726780">
        <w:rPr>
          <w:u w:val="single"/>
          <w:lang w:val="en-GB"/>
        </w:rPr>
        <w:t xml:space="preserve"> </w:t>
      </w:r>
      <w:r>
        <w:rPr>
          <w:lang w:val="en-GB"/>
        </w:rPr>
        <w:t xml:space="preserve">must be lower in sugar from </w:t>
      </w:r>
      <w:bookmarkStart w:id="0" w:name="_GoBack"/>
      <w:bookmarkEnd w:id="0"/>
      <w:r>
        <w:rPr>
          <w:lang w:val="en-GB"/>
        </w:rPr>
        <w:t xml:space="preserve">1 May 2018. </w:t>
      </w:r>
      <w:r w:rsidRPr="00726780">
        <w:rPr>
          <w:b/>
          <w:u w:val="single"/>
          <w:lang w:val="en-GB"/>
        </w:rPr>
        <w:t xml:space="preserve">This declaration form serves to ensure that all </w:t>
      </w:r>
      <w:r>
        <w:rPr>
          <w:b/>
          <w:u w:val="single"/>
          <w:lang w:val="en-GB"/>
        </w:rPr>
        <w:t>drinks offered</w:t>
      </w:r>
      <w:r w:rsidRPr="00726780">
        <w:rPr>
          <w:b/>
          <w:u w:val="single"/>
          <w:lang w:val="en-GB"/>
        </w:rPr>
        <w:t xml:space="preserve"> by the </w:t>
      </w:r>
      <w:r>
        <w:rPr>
          <w:b/>
          <w:u w:val="single"/>
          <w:lang w:val="en-GB"/>
        </w:rPr>
        <w:t>supplier/vendor/tenant will</w:t>
      </w:r>
      <w:r w:rsidRPr="00726780">
        <w:rPr>
          <w:b/>
          <w:u w:val="single"/>
          <w:lang w:val="en-GB"/>
        </w:rPr>
        <w:t xml:space="preserve"> comply with </w:t>
      </w:r>
      <w:r>
        <w:rPr>
          <w:b/>
          <w:u w:val="single"/>
          <w:lang w:val="en-GB"/>
        </w:rPr>
        <w:t>policy requirements</w:t>
      </w:r>
      <w:r>
        <w:rPr>
          <w:lang w:val="en-GB"/>
        </w:rPr>
        <w:t xml:space="preserve">. </w:t>
      </w:r>
    </w:p>
    <w:p w:rsidR="002B22C5" w:rsidRDefault="002B22C5" w:rsidP="002B22C5">
      <w:pPr>
        <w:jc w:val="both"/>
        <w:rPr>
          <w:lang w:val="en-GB"/>
        </w:rPr>
      </w:pPr>
    </w:p>
    <w:p w:rsidR="002B22C5" w:rsidRPr="00985A26" w:rsidRDefault="002B22C5" w:rsidP="002B22C5">
      <w:pPr>
        <w:jc w:val="both"/>
        <w:rPr>
          <w:lang w:val="en-GB"/>
        </w:rPr>
      </w:pPr>
      <w:r w:rsidRPr="00985A26">
        <w:rPr>
          <w:lang w:val="en-GB"/>
        </w:rPr>
        <w:t xml:space="preserve">Please tick appropriate check box wherever </w:t>
      </w:r>
      <w:r w:rsidRPr="00C52F80">
        <w:rPr>
          <w:lang w:val="en-GB"/>
        </w:rPr>
        <w:t>applicable.</w:t>
      </w:r>
      <w:r w:rsidRPr="00985A26">
        <w:rPr>
          <w:lang w:val="en-GB"/>
        </w:rPr>
        <w:t xml:space="preserve"> </w:t>
      </w:r>
      <w:r>
        <w:rPr>
          <w:lang w:val="en-GB"/>
        </w:rPr>
        <w:t xml:space="preserve">If the respective guideline is not applicable, please tick “N/A” (e.g. no freshly prepared hot coffee/tea/malted drinks). </w:t>
      </w:r>
    </w:p>
    <w:p w:rsidR="002B22C5" w:rsidRDefault="002B22C5" w:rsidP="002B22C5">
      <w:pPr>
        <w:jc w:val="center"/>
        <w:rPr>
          <w:b/>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75"/>
        <w:gridCol w:w="3544"/>
        <w:gridCol w:w="2977"/>
        <w:gridCol w:w="921"/>
        <w:gridCol w:w="922"/>
      </w:tblGrid>
      <w:tr w:rsidR="002B22C5" w:rsidRPr="009A3CA6" w:rsidTr="002B22C5">
        <w:trPr>
          <w:trHeight w:val="514"/>
        </w:trPr>
        <w:tc>
          <w:tcPr>
            <w:tcW w:w="675" w:type="dxa"/>
            <w:shd w:val="clear" w:color="auto" w:fill="auto"/>
          </w:tcPr>
          <w:p w:rsidR="002B22C5" w:rsidRPr="009A3CA6" w:rsidRDefault="002B22C5" w:rsidP="00260A86">
            <w:pPr>
              <w:rPr>
                <w:b/>
                <w:bCs/>
              </w:rPr>
            </w:pPr>
            <w:r w:rsidRPr="009A3CA6">
              <w:rPr>
                <w:b/>
                <w:bCs/>
              </w:rPr>
              <w:t>S/N</w:t>
            </w:r>
          </w:p>
        </w:tc>
        <w:tc>
          <w:tcPr>
            <w:tcW w:w="3544" w:type="dxa"/>
            <w:shd w:val="clear" w:color="auto" w:fill="auto"/>
            <w:hideMark/>
          </w:tcPr>
          <w:p w:rsidR="002B22C5" w:rsidRPr="009A3CA6" w:rsidRDefault="002B22C5" w:rsidP="00260A86">
            <w:pPr>
              <w:rPr>
                <w:lang w:val="en-SG"/>
              </w:rPr>
            </w:pPr>
            <w:r w:rsidRPr="009A3CA6">
              <w:rPr>
                <w:b/>
                <w:bCs/>
              </w:rPr>
              <w:t>Drink type</w:t>
            </w:r>
          </w:p>
        </w:tc>
        <w:tc>
          <w:tcPr>
            <w:tcW w:w="2977" w:type="dxa"/>
            <w:shd w:val="clear" w:color="auto" w:fill="auto"/>
            <w:hideMark/>
          </w:tcPr>
          <w:p w:rsidR="002B22C5" w:rsidRPr="009A3CA6" w:rsidRDefault="002B22C5" w:rsidP="00260A86">
            <w:pPr>
              <w:rPr>
                <w:lang w:val="en-SG"/>
              </w:rPr>
            </w:pPr>
            <w:r w:rsidRPr="009A3CA6">
              <w:rPr>
                <w:b/>
                <w:bCs/>
              </w:rPr>
              <w:t xml:space="preserve">Requirements </w:t>
            </w:r>
          </w:p>
        </w:tc>
        <w:tc>
          <w:tcPr>
            <w:tcW w:w="921" w:type="dxa"/>
          </w:tcPr>
          <w:p w:rsidR="002B22C5" w:rsidRPr="009A3CA6" w:rsidRDefault="002B22C5" w:rsidP="00260A86">
            <w:pPr>
              <w:rPr>
                <w:b/>
                <w:bCs/>
              </w:rPr>
            </w:pPr>
            <w:r>
              <w:rPr>
                <w:b/>
                <w:bCs/>
              </w:rPr>
              <w:t>Yes</w:t>
            </w:r>
          </w:p>
        </w:tc>
        <w:tc>
          <w:tcPr>
            <w:tcW w:w="922" w:type="dxa"/>
          </w:tcPr>
          <w:p w:rsidR="002B22C5" w:rsidRPr="009A3CA6" w:rsidRDefault="002B22C5" w:rsidP="00260A86">
            <w:pPr>
              <w:rPr>
                <w:b/>
                <w:bCs/>
              </w:rPr>
            </w:pPr>
            <w:r>
              <w:rPr>
                <w:b/>
                <w:bCs/>
              </w:rPr>
              <w:t>NA</w:t>
            </w:r>
          </w:p>
        </w:tc>
      </w:tr>
      <w:tr w:rsidR="002B22C5" w:rsidRPr="009A3CA6" w:rsidTr="002B22C5">
        <w:trPr>
          <w:trHeight w:val="2890"/>
        </w:trPr>
        <w:tc>
          <w:tcPr>
            <w:tcW w:w="675" w:type="dxa"/>
            <w:shd w:val="clear" w:color="auto" w:fill="auto"/>
          </w:tcPr>
          <w:p w:rsidR="002B22C5" w:rsidRPr="009A3CA6" w:rsidRDefault="002B22C5" w:rsidP="00260A86">
            <w:pPr>
              <w:rPr>
                <w:bCs/>
              </w:rPr>
            </w:pPr>
            <w:r w:rsidRPr="009A3CA6">
              <w:rPr>
                <w:bCs/>
              </w:rPr>
              <w:t>1</w:t>
            </w:r>
          </w:p>
        </w:tc>
        <w:tc>
          <w:tcPr>
            <w:tcW w:w="3544" w:type="dxa"/>
            <w:shd w:val="clear" w:color="auto" w:fill="auto"/>
            <w:hideMark/>
          </w:tcPr>
          <w:p w:rsidR="002B22C5" w:rsidRPr="00A946CE" w:rsidRDefault="002B22C5" w:rsidP="00260A86">
            <w:pPr>
              <w:rPr>
                <w:bCs/>
                <w:u w:val="single"/>
              </w:rPr>
            </w:pPr>
            <w:r w:rsidRPr="00A946CE">
              <w:rPr>
                <w:bCs/>
                <w:u w:val="single"/>
              </w:rPr>
              <w:t>Pre-packaged drinks</w:t>
            </w:r>
          </w:p>
          <w:p w:rsidR="002B22C5" w:rsidRDefault="002B22C5" w:rsidP="002B22C5">
            <w:pPr>
              <w:numPr>
                <w:ilvl w:val="1"/>
                <w:numId w:val="3"/>
              </w:numPr>
              <w:rPr>
                <w:bCs/>
              </w:rPr>
            </w:pPr>
            <w:r w:rsidRPr="009A3CA6">
              <w:rPr>
                <w:bCs/>
              </w:rPr>
              <w:t>Drinks that are ready-to-drink without further preparation (e.g. in a bottle, can, carton</w:t>
            </w:r>
            <w:r>
              <w:rPr>
                <w:bCs/>
              </w:rPr>
              <w:t xml:space="preserve">, bag-in-box or other similar container). This includes fountain drinks and dispensed drinks such as in vending machines and coffee machines; OR </w:t>
            </w:r>
          </w:p>
          <w:p w:rsidR="002B22C5" w:rsidRPr="00A946CE" w:rsidRDefault="002B22C5" w:rsidP="002B22C5">
            <w:pPr>
              <w:numPr>
                <w:ilvl w:val="1"/>
                <w:numId w:val="3"/>
              </w:numPr>
              <w:rPr>
                <w:bCs/>
              </w:rPr>
            </w:pPr>
            <w:r w:rsidRPr="00A946CE">
              <w:rPr>
                <w:bCs/>
              </w:rPr>
              <w:t>Products in powder form that require reconstitution according to dilution instructions on the packaging (e.g. 3-in-1, 2-in-1 premixes).</w:t>
            </w:r>
          </w:p>
          <w:p w:rsidR="002B22C5" w:rsidRPr="009A3CA6" w:rsidRDefault="002B22C5" w:rsidP="00260A86">
            <w:pPr>
              <w:rPr>
                <w:lang w:val="en-SG"/>
              </w:rPr>
            </w:pPr>
          </w:p>
        </w:tc>
        <w:tc>
          <w:tcPr>
            <w:tcW w:w="2977" w:type="dxa"/>
            <w:shd w:val="clear" w:color="auto" w:fill="auto"/>
            <w:hideMark/>
          </w:tcPr>
          <w:p w:rsidR="002B22C5" w:rsidRPr="009A3CA6" w:rsidRDefault="002B22C5" w:rsidP="00260A86">
            <w:pPr>
              <w:rPr>
                <w:lang w:val="en-SG"/>
              </w:rPr>
            </w:pPr>
            <w:r w:rsidRPr="009A3CA6">
              <w:rPr>
                <w:bCs/>
              </w:rPr>
              <w:t xml:space="preserve">All drinks </w:t>
            </w:r>
            <w:r>
              <w:rPr>
                <w:bCs/>
              </w:rPr>
              <w:t xml:space="preserve">are either water OR </w:t>
            </w:r>
            <w:r>
              <w:rPr>
                <w:bCs/>
                <w:lang w:val="en-SG"/>
              </w:rPr>
              <w:t>c</w:t>
            </w:r>
            <w:r w:rsidRPr="009A3CA6">
              <w:rPr>
                <w:bCs/>
                <w:lang w:val="en-SG"/>
              </w:rPr>
              <w:t xml:space="preserve">ompliant with </w:t>
            </w:r>
            <w:r>
              <w:rPr>
                <w:bCs/>
                <w:lang w:val="en-SG"/>
              </w:rPr>
              <w:t>Healthy Choice Symbol</w:t>
            </w:r>
            <w:r>
              <w:rPr>
                <w:rStyle w:val="FootnoteReference"/>
                <w:bCs/>
                <w:lang w:val="en-SG"/>
              </w:rPr>
              <w:footnoteReference w:id="1"/>
            </w:r>
            <w:r>
              <w:rPr>
                <w:bCs/>
                <w:lang w:val="en-SG"/>
              </w:rPr>
              <w:t xml:space="preserve"> sugar guidelines. </w:t>
            </w:r>
          </w:p>
        </w:tc>
        <w:tc>
          <w:tcPr>
            <w:tcW w:w="921" w:type="dxa"/>
          </w:tcPr>
          <w:p w:rsidR="002B22C5" w:rsidRPr="009A3CA6" w:rsidRDefault="002B22C5" w:rsidP="00260A86">
            <w:pPr>
              <w:rPr>
                <w:bCs/>
              </w:rPr>
            </w:pPr>
          </w:p>
        </w:tc>
        <w:tc>
          <w:tcPr>
            <w:tcW w:w="922" w:type="dxa"/>
          </w:tcPr>
          <w:p w:rsidR="002B22C5" w:rsidRPr="009A3CA6" w:rsidRDefault="002B22C5" w:rsidP="00260A86">
            <w:pPr>
              <w:rPr>
                <w:bCs/>
              </w:rPr>
            </w:pPr>
          </w:p>
        </w:tc>
      </w:tr>
      <w:tr w:rsidR="002B22C5" w:rsidRPr="009A3CA6" w:rsidTr="002B22C5">
        <w:trPr>
          <w:trHeight w:val="899"/>
        </w:trPr>
        <w:tc>
          <w:tcPr>
            <w:tcW w:w="675" w:type="dxa"/>
            <w:vMerge w:val="restart"/>
            <w:shd w:val="clear" w:color="auto" w:fill="auto"/>
          </w:tcPr>
          <w:p w:rsidR="002B22C5" w:rsidRPr="009A3CA6" w:rsidRDefault="002B22C5" w:rsidP="00260A86">
            <w:pPr>
              <w:rPr>
                <w:bCs/>
              </w:rPr>
            </w:pPr>
            <w:r>
              <w:rPr>
                <w:bCs/>
              </w:rPr>
              <w:t>2</w:t>
            </w:r>
          </w:p>
        </w:tc>
        <w:tc>
          <w:tcPr>
            <w:tcW w:w="3544" w:type="dxa"/>
            <w:vMerge w:val="restart"/>
            <w:shd w:val="clear" w:color="auto" w:fill="auto"/>
            <w:hideMark/>
          </w:tcPr>
          <w:p w:rsidR="002B22C5" w:rsidRPr="00213114" w:rsidRDefault="002B22C5" w:rsidP="00260A86">
            <w:pPr>
              <w:rPr>
                <w:bCs/>
                <w:u w:val="single"/>
              </w:rPr>
            </w:pPr>
            <w:r w:rsidRPr="00A946CE">
              <w:rPr>
                <w:bCs/>
                <w:u w:val="single"/>
              </w:rPr>
              <w:t xml:space="preserve">Freshly prepared </w:t>
            </w:r>
            <w:r>
              <w:rPr>
                <w:bCs/>
                <w:u w:val="single"/>
              </w:rPr>
              <w:t xml:space="preserve">hot coffee/ tea/ malted drinks </w:t>
            </w:r>
          </w:p>
          <w:p w:rsidR="002B22C5" w:rsidRPr="009A3CA6" w:rsidRDefault="002B22C5" w:rsidP="002B22C5">
            <w:pPr>
              <w:numPr>
                <w:ilvl w:val="0"/>
                <w:numId w:val="4"/>
              </w:numPr>
              <w:ind w:left="319"/>
              <w:rPr>
                <w:lang w:val="en-SG"/>
              </w:rPr>
            </w:pPr>
            <w:r>
              <w:rPr>
                <w:bCs/>
                <w:iCs/>
                <w:lang w:val="en-SG"/>
              </w:rPr>
              <w:t>Hot coffee/ tea/ malted drinks that are prepared onsite before serving (e.g. drinks with final preparations like addition of sugar/ water/ milk on the spot upon ordering by customers.</w:t>
            </w:r>
            <w:r w:rsidR="002F56D4">
              <w:rPr>
                <w:bCs/>
                <w:iCs/>
                <w:lang w:val="en-SG"/>
              </w:rPr>
              <w:t>)</w:t>
            </w:r>
          </w:p>
        </w:tc>
        <w:tc>
          <w:tcPr>
            <w:tcW w:w="2977" w:type="dxa"/>
            <w:shd w:val="clear" w:color="auto" w:fill="auto"/>
            <w:hideMark/>
          </w:tcPr>
          <w:p w:rsidR="002B22C5" w:rsidRPr="004F1429" w:rsidRDefault="002B22C5" w:rsidP="00260A86">
            <w:pPr>
              <w:rPr>
                <w:lang w:val="en-SG"/>
              </w:rPr>
            </w:pPr>
            <w:r>
              <w:rPr>
                <w:bCs/>
                <w:lang w:val="en-SG"/>
              </w:rPr>
              <w:t>Drinks are prepared and served</w:t>
            </w:r>
            <w:r w:rsidRPr="009A3CA6">
              <w:rPr>
                <w:bCs/>
              </w:rPr>
              <w:t xml:space="preserve"> with </w:t>
            </w:r>
            <w:r w:rsidRPr="009A3CA6">
              <w:rPr>
                <w:bCs/>
                <w:u w:val="single"/>
              </w:rPr>
              <w:t>no added sugar</w:t>
            </w:r>
            <w:r>
              <w:rPr>
                <w:bCs/>
              </w:rPr>
              <w:t xml:space="preserve"> (i.e. </w:t>
            </w:r>
            <w:r>
              <w:rPr>
                <w:bCs/>
                <w:i/>
              </w:rPr>
              <w:t>‘</w:t>
            </w:r>
            <w:proofErr w:type="spellStart"/>
            <w:r>
              <w:rPr>
                <w:bCs/>
                <w:i/>
              </w:rPr>
              <w:t>ko</w:t>
            </w:r>
            <w:proofErr w:type="spellEnd"/>
            <w:r>
              <w:rPr>
                <w:bCs/>
                <w:i/>
              </w:rPr>
              <w:t>-song’</w:t>
            </w:r>
            <w:r w:rsidRPr="002B68EF">
              <w:rPr>
                <w:bCs/>
              </w:rPr>
              <w:t>).</w:t>
            </w:r>
            <w:r>
              <w:rPr>
                <w:bCs/>
                <w:i/>
              </w:rPr>
              <w:t xml:space="preserve"> </w:t>
            </w:r>
          </w:p>
        </w:tc>
        <w:tc>
          <w:tcPr>
            <w:tcW w:w="921" w:type="dxa"/>
          </w:tcPr>
          <w:p w:rsidR="002B22C5" w:rsidRDefault="002B22C5" w:rsidP="00260A86">
            <w:pPr>
              <w:ind w:left="-38"/>
              <w:rPr>
                <w:bCs/>
                <w:lang w:val="en-SG"/>
              </w:rPr>
            </w:pPr>
          </w:p>
        </w:tc>
        <w:tc>
          <w:tcPr>
            <w:tcW w:w="922" w:type="dxa"/>
          </w:tcPr>
          <w:p w:rsidR="002B22C5" w:rsidRDefault="002B22C5" w:rsidP="00260A86">
            <w:pPr>
              <w:ind w:left="322"/>
              <w:rPr>
                <w:bCs/>
                <w:lang w:val="en-SG"/>
              </w:rPr>
            </w:pPr>
          </w:p>
        </w:tc>
      </w:tr>
      <w:tr w:rsidR="002B22C5" w:rsidRPr="009A3CA6" w:rsidTr="002B22C5">
        <w:trPr>
          <w:trHeight w:val="1742"/>
        </w:trPr>
        <w:tc>
          <w:tcPr>
            <w:tcW w:w="675" w:type="dxa"/>
            <w:vMerge/>
            <w:shd w:val="clear" w:color="auto" w:fill="auto"/>
          </w:tcPr>
          <w:p w:rsidR="002B22C5" w:rsidRDefault="002B22C5" w:rsidP="00260A86">
            <w:pPr>
              <w:rPr>
                <w:bCs/>
              </w:rPr>
            </w:pPr>
          </w:p>
        </w:tc>
        <w:tc>
          <w:tcPr>
            <w:tcW w:w="3544" w:type="dxa"/>
            <w:vMerge/>
            <w:shd w:val="clear" w:color="auto" w:fill="auto"/>
          </w:tcPr>
          <w:p w:rsidR="002B22C5" w:rsidRPr="00A946CE" w:rsidRDefault="002B22C5" w:rsidP="00260A86">
            <w:pPr>
              <w:rPr>
                <w:bCs/>
                <w:u w:val="single"/>
              </w:rPr>
            </w:pPr>
          </w:p>
        </w:tc>
        <w:tc>
          <w:tcPr>
            <w:tcW w:w="2977" w:type="dxa"/>
            <w:shd w:val="clear" w:color="auto" w:fill="auto"/>
          </w:tcPr>
          <w:p w:rsidR="002B22C5" w:rsidRDefault="002B22C5" w:rsidP="00260A86">
            <w:pPr>
              <w:rPr>
                <w:bCs/>
                <w:lang w:val="en-SG"/>
              </w:rPr>
            </w:pPr>
            <w:r>
              <w:rPr>
                <w:bCs/>
                <w:lang w:val="en-SG"/>
              </w:rPr>
              <w:t xml:space="preserve">If premix is used to prepare such drinks, these premixes comply with HCS sugar guidelines and are prepared according to manufacturers’ instructions on packaging. </w:t>
            </w:r>
          </w:p>
        </w:tc>
        <w:tc>
          <w:tcPr>
            <w:tcW w:w="921" w:type="dxa"/>
          </w:tcPr>
          <w:p w:rsidR="002B22C5" w:rsidRDefault="002B22C5" w:rsidP="00260A86">
            <w:pPr>
              <w:ind w:left="-38"/>
              <w:rPr>
                <w:bCs/>
                <w:lang w:val="en-SG"/>
              </w:rPr>
            </w:pPr>
          </w:p>
        </w:tc>
        <w:tc>
          <w:tcPr>
            <w:tcW w:w="922" w:type="dxa"/>
          </w:tcPr>
          <w:p w:rsidR="002B22C5" w:rsidRDefault="002B22C5" w:rsidP="00260A86">
            <w:pPr>
              <w:ind w:left="322"/>
              <w:rPr>
                <w:bCs/>
                <w:lang w:val="en-SG"/>
              </w:rPr>
            </w:pPr>
          </w:p>
        </w:tc>
      </w:tr>
      <w:tr w:rsidR="002B22C5" w:rsidRPr="009A3CA6" w:rsidTr="002B22C5">
        <w:trPr>
          <w:trHeight w:val="1143"/>
        </w:trPr>
        <w:tc>
          <w:tcPr>
            <w:tcW w:w="675" w:type="dxa"/>
            <w:vMerge/>
            <w:shd w:val="clear" w:color="auto" w:fill="auto"/>
          </w:tcPr>
          <w:p w:rsidR="002B22C5" w:rsidRDefault="002B22C5" w:rsidP="00260A86">
            <w:pPr>
              <w:rPr>
                <w:bCs/>
              </w:rPr>
            </w:pPr>
          </w:p>
        </w:tc>
        <w:tc>
          <w:tcPr>
            <w:tcW w:w="3544" w:type="dxa"/>
            <w:vMerge/>
            <w:shd w:val="clear" w:color="auto" w:fill="auto"/>
          </w:tcPr>
          <w:p w:rsidR="002B22C5" w:rsidRPr="00A946CE" w:rsidRDefault="002B22C5" w:rsidP="00260A86">
            <w:pPr>
              <w:rPr>
                <w:bCs/>
                <w:u w:val="single"/>
              </w:rPr>
            </w:pPr>
          </w:p>
        </w:tc>
        <w:tc>
          <w:tcPr>
            <w:tcW w:w="2977" w:type="dxa"/>
            <w:shd w:val="clear" w:color="auto" w:fill="auto"/>
          </w:tcPr>
          <w:p w:rsidR="002B22C5" w:rsidRDefault="002B22C5" w:rsidP="00260A86">
            <w:pPr>
              <w:rPr>
                <w:bCs/>
                <w:i/>
                <w:u w:val="single"/>
                <w:lang w:val="en-SG"/>
              </w:rPr>
            </w:pPr>
            <w:r>
              <w:rPr>
                <w:bCs/>
                <w:i/>
                <w:u w:val="single"/>
                <w:lang w:val="en-SG"/>
              </w:rPr>
              <w:t xml:space="preserve">Strongly encouraged: </w:t>
            </w:r>
          </w:p>
          <w:p w:rsidR="002B22C5" w:rsidRPr="00A946CE" w:rsidRDefault="002B22C5" w:rsidP="00260A86">
            <w:pPr>
              <w:rPr>
                <w:bCs/>
                <w:i/>
                <w:u w:val="single"/>
                <w:lang w:val="en-SG"/>
              </w:rPr>
            </w:pPr>
            <w:r>
              <w:t xml:space="preserve">Amount of condensed milk added to drinks are reduced to </w:t>
            </w:r>
            <w:r>
              <w:rPr>
                <w:i/>
              </w:rPr>
              <w:t>‘</w:t>
            </w:r>
            <w:proofErr w:type="spellStart"/>
            <w:r>
              <w:rPr>
                <w:i/>
              </w:rPr>
              <w:t>siu</w:t>
            </w:r>
            <w:proofErr w:type="spellEnd"/>
            <w:r>
              <w:rPr>
                <w:i/>
              </w:rPr>
              <w:t xml:space="preserve"> </w:t>
            </w:r>
            <w:proofErr w:type="spellStart"/>
            <w:r>
              <w:rPr>
                <w:i/>
              </w:rPr>
              <w:t>dai</w:t>
            </w:r>
            <w:proofErr w:type="spellEnd"/>
            <w:r>
              <w:rPr>
                <w:i/>
              </w:rPr>
              <w:t xml:space="preserve">’ </w:t>
            </w:r>
            <w:r>
              <w:t xml:space="preserve">level.  </w:t>
            </w:r>
          </w:p>
        </w:tc>
        <w:tc>
          <w:tcPr>
            <w:tcW w:w="921" w:type="dxa"/>
          </w:tcPr>
          <w:p w:rsidR="002B22C5" w:rsidRDefault="002B22C5" w:rsidP="00260A86">
            <w:pPr>
              <w:ind w:left="-38"/>
              <w:rPr>
                <w:bCs/>
                <w:lang w:val="en-SG"/>
              </w:rPr>
            </w:pPr>
          </w:p>
        </w:tc>
        <w:tc>
          <w:tcPr>
            <w:tcW w:w="922" w:type="dxa"/>
          </w:tcPr>
          <w:p w:rsidR="002B22C5" w:rsidRDefault="002B22C5" w:rsidP="00260A86">
            <w:pPr>
              <w:ind w:left="322"/>
              <w:rPr>
                <w:bCs/>
                <w:lang w:val="en-SG"/>
              </w:rPr>
            </w:pPr>
          </w:p>
        </w:tc>
      </w:tr>
    </w:tbl>
    <w:p w:rsidR="002B22C5" w:rsidRPr="00A946CE" w:rsidRDefault="002B22C5" w:rsidP="002B22C5">
      <w:pPr>
        <w:jc w:val="center"/>
        <w:rPr>
          <w:b/>
          <w:lang w:val="en-SG"/>
        </w:rPr>
      </w:pPr>
    </w:p>
    <w:p w:rsidR="002B22C5" w:rsidRDefault="002B22C5" w:rsidP="002B22C5">
      <w:pPr>
        <w:tabs>
          <w:tab w:val="left" w:pos="3810"/>
        </w:tabs>
        <w:jc w:val="center"/>
        <w:rPr>
          <w:b/>
        </w:rPr>
      </w:pPr>
      <w:r>
        <w:rPr>
          <w:b/>
        </w:rPr>
        <w:t xml:space="preserve">Page 1 of </w:t>
      </w:r>
      <w:r w:rsidR="002F56D4">
        <w:rPr>
          <w:b/>
        </w:rPr>
        <w:t>3</w:t>
      </w:r>
      <w:r>
        <w:rPr>
          <w:b/>
        </w:rPr>
        <w:t xml:space="preserve"> </w:t>
      </w:r>
    </w:p>
    <w:p w:rsidR="002F56D4" w:rsidRDefault="002F56D4" w:rsidP="002F56D4">
      <w:pPr>
        <w:ind w:right="480"/>
        <w:jc w:val="center"/>
        <w:rPr>
          <w:b/>
          <w:szCs w:val="22"/>
          <w:lang w:val="en-SG"/>
        </w:rPr>
      </w:pPr>
      <w:r>
        <w:rPr>
          <w:b/>
          <w:szCs w:val="22"/>
          <w:lang w:val="en-SG"/>
        </w:rPr>
        <w:lastRenderedPageBreak/>
        <w:t xml:space="preserve">UNDERTAKING TO COMPLY WITH HEALTHIER DRINKS POLICY </w:t>
      </w:r>
    </w:p>
    <w:p w:rsidR="002F56D4" w:rsidRPr="00985A26" w:rsidRDefault="002F56D4" w:rsidP="002F56D4">
      <w:pPr>
        <w:jc w:val="center"/>
        <w:rPr>
          <w:b/>
          <w:lang w:val="en-GB"/>
        </w:rPr>
      </w:pPr>
    </w:p>
    <w:p w:rsidR="002F56D4" w:rsidRDefault="002F56D4" w:rsidP="002F56D4">
      <w:pPr>
        <w:jc w:val="both"/>
        <w:rPr>
          <w:lang w:val="en-GB"/>
        </w:rPr>
      </w:pPr>
    </w:p>
    <w:p w:rsidR="002F56D4" w:rsidRDefault="002F56D4" w:rsidP="002F56D4">
      <w:pPr>
        <w:jc w:val="both"/>
        <w:rPr>
          <w:lang w:val="en-GB"/>
        </w:rPr>
      </w:pPr>
      <w:r>
        <w:rPr>
          <w:lang w:val="en-GB"/>
        </w:rPr>
        <w:t xml:space="preserve">This Undertaking is made on </w:t>
      </w:r>
      <w:r w:rsidRPr="002E6EB5">
        <w:rPr>
          <w:highlight w:val="yellow"/>
          <w:lang w:val="en-GB"/>
        </w:rPr>
        <w:t>[date]</w:t>
      </w:r>
      <w:r>
        <w:rPr>
          <w:lang w:val="en-GB"/>
        </w:rPr>
        <w:t>, for and on behalf of:</w:t>
      </w:r>
    </w:p>
    <w:p w:rsidR="002F56D4" w:rsidRDefault="002F56D4" w:rsidP="002F56D4">
      <w:pPr>
        <w:jc w:val="both"/>
        <w:rPr>
          <w:lang w:val="en-GB"/>
        </w:rPr>
      </w:pPr>
    </w:p>
    <w:tbl>
      <w:tblPr>
        <w:tblW w:w="9889" w:type="dxa"/>
        <w:tblLook w:val="04A0" w:firstRow="1" w:lastRow="0" w:firstColumn="1" w:lastColumn="0" w:noHBand="0" w:noVBand="1"/>
      </w:tblPr>
      <w:tblGrid>
        <w:gridCol w:w="4077"/>
        <w:gridCol w:w="5812"/>
      </w:tblGrid>
      <w:tr w:rsidR="002F56D4" w:rsidRPr="00846E25" w:rsidTr="00260A86">
        <w:tc>
          <w:tcPr>
            <w:tcW w:w="4077" w:type="dxa"/>
            <w:vAlign w:val="bottom"/>
          </w:tcPr>
          <w:p w:rsidR="002F56D4" w:rsidRPr="00846E25" w:rsidRDefault="002F56D4" w:rsidP="00260A86">
            <w:pPr>
              <w:autoSpaceDE w:val="0"/>
              <w:autoSpaceDN w:val="0"/>
              <w:adjustRightInd w:val="0"/>
              <w:rPr>
                <w:rFonts w:eastAsia="SimSun"/>
                <w:lang w:val="en-GB" w:eastAsia="zh-CN"/>
              </w:rPr>
            </w:pPr>
            <w:r w:rsidRPr="00846E25">
              <w:rPr>
                <w:rFonts w:eastAsia="SimSun"/>
                <w:lang w:val="en-GB" w:eastAsia="zh-CN"/>
              </w:rPr>
              <w:t xml:space="preserve">Name of </w:t>
            </w:r>
            <w:r>
              <w:rPr>
                <w:rFonts w:eastAsia="SimSun"/>
                <w:lang w:val="en-GB" w:eastAsia="zh-CN"/>
              </w:rPr>
              <w:t>Organisation</w:t>
            </w:r>
            <w:r w:rsidRPr="00846E25">
              <w:rPr>
                <w:rFonts w:eastAsia="SimSun"/>
                <w:lang w:val="en-GB" w:eastAsia="zh-CN"/>
              </w:rPr>
              <w:t>:</w:t>
            </w:r>
          </w:p>
        </w:tc>
        <w:tc>
          <w:tcPr>
            <w:tcW w:w="5812" w:type="dxa"/>
            <w:tcBorders>
              <w:bottom w:val="single" w:sz="4" w:space="0" w:color="auto"/>
            </w:tcBorders>
            <w:vAlign w:val="bottom"/>
          </w:tcPr>
          <w:p w:rsidR="002F56D4" w:rsidRPr="00846E25" w:rsidRDefault="002F56D4" w:rsidP="00260A86">
            <w:pPr>
              <w:autoSpaceDE w:val="0"/>
              <w:autoSpaceDN w:val="0"/>
              <w:adjustRightInd w:val="0"/>
              <w:ind w:left="-533"/>
              <w:rPr>
                <w:rFonts w:eastAsia="SimSun"/>
                <w:lang w:val="en-GB" w:eastAsia="zh-CN"/>
              </w:rPr>
            </w:pPr>
          </w:p>
        </w:tc>
      </w:tr>
      <w:tr w:rsidR="002F56D4" w:rsidRPr="00846E25" w:rsidTr="00260A86">
        <w:tc>
          <w:tcPr>
            <w:tcW w:w="4077" w:type="dxa"/>
            <w:vAlign w:val="bottom"/>
          </w:tcPr>
          <w:p w:rsidR="002F56D4" w:rsidRPr="00846E25" w:rsidRDefault="002F56D4" w:rsidP="00260A86">
            <w:pPr>
              <w:autoSpaceDE w:val="0"/>
              <w:autoSpaceDN w:val="0"/>
              <w:adjustRightInd w:val="0"/>
              <w:rPr>
                <w:rFonts w:eastAsia="SimSun"/>
                <w:lang w:val="en-GB" w:eastAsia="zh-CN"/>
              </w:rPr>
            </w:pPr>
          </w:p>
          <w:p w:rsidR="002F56D4" w:rsidRPr="00846E25" w:rsidRDefault="002F56D4" w:rsidP="00260A86">
            <w:pPr>
              <w:autoSpaceDE w:val="0"/>
              <w:autoSpaceDN w:val="0"/>
              <w:adjustRightInd w:val="0"/>
              <w:rPr>
                <w:rFonts w:eastAsia="SimSun"/>
                <w:lang w:val="en-GB" w:eastAsia="zh-CN"/>
              </w:rPr>
            </w:pPr>
            <w:r w:rsidRPr="00846E25">
              <w:rPr>
                <w:rFonts w:eastAsia="SimSun"/>
                <w:lang w:val="en-GB" w:eastAsia="zh-CN"/>
              </w:rPr>
              <w:t>Registration No</w:t>
            </w:r>
            <w:r>
              <w:rPr>
                <w:rFonts w:eastAsia="SimSun"/>
                <w:lang w:val="en-GB" w:eastAsia="zh-CN"/>
              </w:rPr>
              <w:t>.</w:t>
            </w:r>
            <w:r w:rsidRPr="00846E25">
              <w:rPr>
                <w:rFonts w:eastAsia="SimSun"/>
                <w:vertAlign w:val="superscript"/>
                <w:lang w:val="en-GB" w:eastAsia="zh-CN"/>
              </w:rPr>
              <w:footnoteReference w:id="2"/>
            </w:r>
            <w:r w:rsidRPr="00846E25">
              <w:rPr>
                <w:rFonts w:eastAsia="SimSun"/>
                <w:lang w:val="en-GB" w:eastAsia="zh-CN"/>
              </w:rPr>
              <w:t xml:space="preserve"> of the </w:t>
            </w:r>
            <w:r>
              <w:rPr>
                <w:rFonts w:eastAsia="SimSun"/>
                <w:lang w:val="en-GB" w:eastAsia="zh-CN"/>
              </w:rPr>
              <w:t>Organisation:</w:t>
            </w:r>
          </w:p>
        </w:tc>
        <w:tc>
          <w:tcPr>
            <w:tcW w:w="5812" w:type="dxa"/>
            <w:tcBorders>
              <w:top w:val="single" w:sz="4" w:space="0" w:color="auto"/>
              <w:bottom w:val="single" w:sz="4" w:space="0" w:color="auto"/>
            </w:tcBorders>
            <w:vAlign w:val="bottom"/>
          </w:tcPr>
          <w:p w:rsidR="002F56D4" w:rsidRPr="00846E25" w:rsidRDefault="002F56D4" w:rsidP="00260A86">
            <w:pPr>
              <w:autoSpaceDE w:val="0"/>
              <w:autoSpaceDN w:val="0"/>
              <w:adjustRightInd w:val="0"/>
              <w:ind w:left="-533"/>
              <w:rPr>
                <w:rFonts w:eastAsia="SimSun"/>
                <w:lang w:val="en-GB" w:eastAsia="zh-CN"/>
              </w:rPr>
            </w:pPr>
          </w:p>
        </w:tc>
      </w:tr>
    </w:tbl>
    <w:p w:rsidR="002F56D4" w:rsidRDefault="002F56D4" w:rsidP="002F56D4">
      <w:pPr>
        <w:jc w:val="both"/>
        <w:rPr>
          <w:lang w:val="en-GB"/>
        </w:rPr>
      </w:pPr>
    </w:p>
    <w:p w:rsidR="002F56D4" w:rsidRDefault="002F56D4" w:rsidP="002F56D4">
      <w:pPr>
        <w:jc w:val="both"/>
        <w:rPr>
          <w:lang w:val="en-GB"/>
        </w:rPr>
      </w:pPr>
    </w:p>
    <w:p w:rsidR="002F56D4" w:rsidRDefault="002F56D4" w:rsidP="002F56D4">
      <w:pPr>
        <w:jc w:val="both"/>
        <w:rPr>
          <w:lang w:val="en-GB"/>
        </w:rPr>
      </w:pPr>
      <w:r>
        <w:rPr>
          <w:lang w:val="en-GB"/>
        </w:rPr>
        <w:t>2</w:t>
      </w:r>
      <w:r>
        <w:rPr>
          <w:lang w:val="en-GB"/>
        </w:rPr>
        <w:tab/>
        <w:t xml:space="preserve">I understand that, under the Health Promotion Board’s Healthier Drinks Policy (“Policy”), all drinks sold or supplied at or on government premises must be lower in sugar. A copy of the Policy has been provided to me, and I have read and fully understood the Policy. </w:t>
      </w:r>
    </w:p>
    <w:p w:rsidR="002F56D4" w:rsidRPr="002F56D4" w:rsidRDefault="002F56D4" w:rsidP="002F56D4">
      <w:pPr>
        <w:jc w:val="both"/>
        <w:rPr>
          <w:lang w:val="en-GB"/>
        </w:rPr>
      </w:pPr>
    </w:p>
    <w:p w:rsidR="002F56D4" w:rsidRPr="002F56D4" w:rsidRDefault="002F56D4" w:rsidP="002F56D4">
      <w:pPr>
        <w:pStyle w:val="ListParagraph"/>
        <w:numPr>
          <w:ilvl w:val="0"/>
          <w:numId w:val="6"/>
        </w:numPr>
        <w:jc w:val="both"/>
        <w:rPr>
          <w:sz w:val="24"/>
          <w:szCs w:val="24"/>
          <w:lang w:val="en-GB"/>
        </w:rPr>
      </w:pPr>
      <w:r w:rsidRPr="002F56D4">
        <w:rPr>
          <w:sz w:val="24"/>
          <w:szCs w:val="24"/>
          <w:lang w:val="en-GB"/>
        </w:rPr>
        <w:t xml:space="preserve">On behalf of </w:t>
      </w:r>
      <w:r w:rsidRPr="002F56D4">
        <w:rPr>
          <w:sz w:val="24"/>
          <w:szCs w:val="24"/>
          <w:highlight w:val="yellow"/>
          <w:lang w:val="en-GB"/>
        </w:rPr>
        <w:t>[insert name of Organisation]</w:t>
      </w:r>
      <w:r w:rsidRPr="002F56D4">
        <w:rPr>
          <w:sz w:val="24"/>
          <w:szCs w:val="24"/>
          <w:lang w:val="en-GB"/>
        </w:rPr>
        <w:t>, I hereby undertake to:</w:t>
      </w:r>
    </w:p>
    <w:p w:rsidR="002F56D4" w:rsidRPr="002F56D4" w:rsidRDefault="002F56D4" w:rsidP="002F56D4">
      <w:pPr>
        <w:jc w:val="both"/>
        <w:rPr>
          <w:lang w:val="en-GB"/>
        </w:rPr>
      </w:pPr>
    </w:p>
    <w:p w:rsidR="002F56D4" w:rsidRDefault="002F56D4" w:rsidP="002F56D4">
      <w:pPr>
        <w:numPr>
          <w:ilvl w:val="0"/>
          <w:numId w:val="5"/>
        </w:numPr>
        <w:ind w:left="709"/>
        <w:jc w:val="both"/>
      </w:pPr>
      <w:r>
        <w:t xml:space="preserve">fully comply with the Policy, in relation to any drinks sold or supplied at </w:t>
      </w:r>
      <w:r w:rsidRPr="004F10F9">
        <w:rPr>
          <w:highlight w:val="yellow"/>
        </w:rPr>
        <w:t>[insert description of the relevant premises]</w:t>
      </w:r>
      <w:r>
        <w:t xml:space="preserve"> (“Premises”); and</w:t>
      </w:r>
    </w:p>
    <w:p w:rsidR="002F56D4" w:rsidRDefault="002F56D4" w:rsidP="002F56D4">
      <w:pPr>
        <w:ind w:left="709"/>
        <w:jc w:val="both"/>
      </w:pPr>
    </w:p>
    <w:p w:rsidR="002F56D4" w:rsidRDefault="002F56D4" w:rsidP="002F56D4">
      <w:pPr>
        <w:numPr>
          <w:ilvl w:val="0"/>
          <w:numId w:val="5"/>
        </w:numPr>
        <w:ind w:left="709"/>
        <w:jc w:val="both"/>
      </w:pPr>
      <w:r>
        <w:t xml:space="preserve">allow </w:t>
      </w:r>
      <w:r w:rsidRPr="002F56D4">
        <w:rPr>
          <w:highlight w:val="yellow"/>
        </w:rPr>
        <w:t>[insert name of the government agency]</w:t>
      </w:r>
      <w:r>
        <w:t xml:space="preserve">, and any party authorized by it, to conduct such checks (including unscheduled checks at and on the Premises) and obtain such information as may be necessary to verify my </w:t>
      </w:r>
      <w:proofErr w:type="spellStart"/>
      <w:r>
        <w:t>Organisation’s</w:t>
      </w:r>
      <w:proofErr w:type="spellEnd"/>
      <w:r>
        <w:t xml:space="preserve"> compliance with the Policy.</w:t>
      </w:r>
    </w:p>
    <w:p w:rsidR="002F56D4" w:rsidRDefault="002F56D4" w:rsidP="002F56D4">
      <w:pPr>
        <w:ind w:left="1080"/>
        <w:jc w:val="both"/>
      </w:pPr>
    </w:p>
    <w:p w:rsidR="002F56D4" w:rsidRDefault="002F56D4" w:rsidP="002F56D4">
      <w:pPr>
        <w:jc w:val="both"/>
      </w:pPr>
      <w:r>
        <w:t>4</w:t>
      </w:r>
      <w:r>
        <w:tab/>
        <w:t xml:space="preserve">I further agree that any breach of the Policy will render my </w:t>
      </w:r>
      <w:proofErr w:type="spellStart"/>
      <w:r>
        <w:t>Organisation</w:t>
      </w:r>
      <w:proofErr w:type="spellEnd"/>
      <w:r>
        <w:t xml:space="preserve"> legally liable to </w:t>
      </w:r>
      <w:r w:rsidRPr="004F10F9">
        <w:rPr>
          <w:highlight w:val="yellow"/>
        </w:rPr>
        <w:t>[insert name of the government agency]</w:t>
      </w:r>
      <w:r>
        <w:t xml:space="preserve"> for breach of this Undertaking.</w:t>
      </w:r>
    </w:p>
    <w:p w:rsidR="002F56D4" w:rsidRDefault="002F56D4" w:rsidP="002F56D4">
      <w:pPr>
        <w:pStyle w:val="ListParagraph"/>
      </w:pPr>
    </w:p>
    <w:p w:rsidR="002F56D4" w:rsidRDefault="002F56D4" w:rsidP="002F56D4">
      <w:pPr>
        <w:rPr>
          <w:b/>
          <w:bCs/>
        </w:rPr>
      </w:pPr>
    </w:p>
    <w:p w:rsidR="002F56D4" w:rsidRPr="00384D75" w:rsidRDefault="002F56D4" w:rsidP="002F56D4">
      <w:pPr>
        <w:rPr>
          <w:b/>
          <w:bCs/>
        </w:rPr>
      </w:pPr>
      <w:r>
        <w:rPr>
          <w:b/>
          <w:bCs/>
        </w:rPr>
        <w:t xml:space="preserve">Executed as a deed for and on behalf of </w:t>
      </w:r>
      <w:r w:rsidRPr="004F3A66">
        <w:rPr>
          <w:b/>
          <w:bCs/>
          <w:highlight w:val="yellow"/>
        </w:rPr>
        <w:t>[</w:t>
      </w:r>
      <w:r>
        <w:rPr>
          <w:b/>
          <w:bCs/>
          <w:highlight w:val="yellow"/>
        </w:rPr>
        <w:t xml:space="preserve">insert name of </w:t>
      </w:r>
      <w:proofErr w:type="spellStart"/>
      <w:r>
        <w:rPr>
          <w:b/>
          <w:bCs/>
          <w:highlight w:val="yellow"/>
        </w:rPr>
        <w:t>Organisation</w:t>
      </w:r>
      <w:proofErr w:type="spellEnd"/>
      <w:r w:rsidRPr="004F3A66">
        <w:rPr>
          <w:b/>
          <w:bCs/>
          <w:highlight w:val="yellow"/>
        </w:rPr>
        <w:t>]</w:t>
      </w:r>
    </w:p>
    <w:p w:rsidR="002F56D4" w:rsidRPr="00384D75" w:rsidRDefault="002F56D4" w:rsidP="002F56D4">
      <w:pPr>
        <w:rPr>
          <w:b/>
          <w:bCs/>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2F56D4" w:rsidRPr="005A064F" w:rsidTr="00260A86">
        <w:trPr>
          <w:trHeight w:val="827"/>
        </w:trPr>
        <w:tc>
          <w:tcPr>
            <w:tcW w:w="8761" w:type="dxa"/>
            <w:shd w:val="clear" w:color="auto" w:fill="auto"/>
          </w:tcPr>
          <w:p w:rsidR="002F56D4" w:rsidRPr="00384D75" w:rsidRDefault="002F56D4" w:rsidP="00260A86">
            <w:r w:rsidRPr="00384D75">
              <w:t>Signature:</w:t>
            </w:r>
          </w:p>
          <w:p w:rsidR="002F56D4" w:rsidRPr="005A064F" w:rsidRDefault="002F56D4" w:rsidP="00260A86">
            <w:pPr>
              <w:rPr>
                <w:bCs/>
                <w:lang w:val="en-GB"/>
              </w:rPr>
            </w:pPr>
          </w:p>
          <w:p w:rsidR="002F56D4" w:rsidRDefault="002F56D4" w:rsidP="00260A86">
            <w:pPr>
              <w:rPr>
                <w:bCs/>
                <w:lang w:val="en-GB"/>
              </w:rPr>
            </w:pPr>
          </w:p>
          <w:p w:rsidR="002F56D4" w:rsidRPr="005A064F" w:rsidRDefault="002F56D4" w:rsidP="00260A86">
            <w:pPr>
              <w:rPr>
                <w:bCs/>
                <w:lang w:val="en-GB"/>
              </w:rPr>
            </w:pPr>
          </w:p>
        </w:tc>
      </w:tr>
      <w:tr w:rsidR="002F56D4" w:rsidRPr="005A064F" w:rsidTr="00260A86">
        <w:trPr>
          <w:trHeight w:val="841"/>
        </w:trPr>
        <w:tc>
          <w:tcPr>
            <w:tcW w:w="8761" w:type="dxa"/>
            <w:shd w:val="clear" w:color="auto" w:fill="auto"/>
          </w:tcPr>
          <w:p w:rsidR="002F56D4" w:rsidRPr="00384D75" w:rsidRDefault="002F56D4" w:rsidP="00260A86">
            <w:r w:rsidRPr="00384D75">
              <w:t xml:space="preserve">Name of </w:t>
            </w:r>
            <w:proofErr w:type="spellStart"/>
            <w:r>
              <w:t>Organisation</w:t>
            </w:r>
            <w:proofErr w:type="spellEnd"/>
            <w:r>
              <w:t>:</w:t>
            </w:r>
            <w:r w:rsidRPr="00384D75">
              <w:t xml:space="preserve"> </w:t>
            </w:r>
          </w:p>
          <w:p w:rsidR="002F56D4" w:rsidRPr="005A064F" w:rsidRDefault="002F56D4" w:rsidP="00260A86">
            <w:pPr>
              <w:rPr>
                <w:bCs/>
                <w:lang w:val="en-GB"/>
              </w:rPr>
            </w:pPr>
          </w:p>
          <w:p w:rsidR="002F56D4" w:rsidRPr="005A064F" w:rsidRDefault="002F56D4" w:rsidP="00260A86">
            <w:pPr>
              <w:rPr>
                <w:bCs/>
                <w:lang w:val="en-GB"/>
              </w:rPr>
            </w:pPr>
          </w:p>
        </w:tc>
      </w:tr>
      <w:tr w:rsidR="002F56D4" w:rsidRPr="005A064F" w:rsidTr="00260A86">
        <w:trPr>
          <w:trHeight w:val="827"/>
        </w:trPr>
        <w:tc>
          <w:tcPr>
            <w:tcW w:w="8761" w:type="dxa"/>
            <w:shd w:val="clear" w:color="auto" w:fill="auto"/>
          </w:tcPr>
          <w:p w:rsidR="002F56D4" w:rsidRPr="00384D75" w:rsidRDefault="002F56D4" w:rsidP="00260A86">
            <w:r w:rsidRPr="00384D75">
              <w:t xml:space="preserve">Name of </w:t>
            </w:r>
            <w:proofErr w:type="spellStart"/>
            <w:r>
              <w:t>Authorised</w:t>
            </w:r>
            <w:proofErr w:type="spellEnd"/>
            <w:r>
              <w:t xml:space="preserve"> Representative</w:t>
            </w:r>
            <w:r w:rsidRPr="00384D75">
              <w:t xml:space="preserve">: </w:t>
            </w:r>
          </w:p>
          <w:p w:rsidR="002F56D4" w:rsidRPr="005A064F" w:rsidRDefault="002F56D4" w:rsidP="00260A86">
            <w:pPr>
              <w:rPr>
                <w:bCs/>
                <w:lang w:val="en-GB"/>
              </w:rPr>
            </w:pPr>
          </w:p>
          <w:p w:rsidR="002F56D4" w:rsidRPr="005A064F" w:rsidRDefault="002F56D4" w:rsidP="00260A86">
            <w:pPr>
              <w:rPr>
                <w:bCs/>
                <w:lang w:val="en-GB"/>
              </w:rPr>
            </w:pPr>
          </w:p>
        </w:tc>
      </w:tr>
      <w:tr w:rsidR="002F56D4" w:rsidRPr="005A064F" w:rsidTr="00260A86">
        <w:trPr>
          <w:trHeight w:val="841"/>
        </w:trPr>
        <w:tc>
          <w:tcPr>
            <w:tcW w:w="8761" w:type="dxa"/>
            <w:shd w:val="clear" w:color="auto" w:fill="auto"/>
          </w:tcPr>
          <w:p w:rsidR="002F56D4" w:rsidRPr="00384D75" w:rsidRDefault="002F56D4" w:rsidP="00260A86">
            <w:r w:rsidRPr="00384D75">
              <w:t xml:space="preserve">Designation: </w:t>
            </w:r>
          </w:p>
          <w:p w:rsidR="002F56D4" w:rsidRPr="005A064F" w:rsidRDefault="002F56D4" w:rsidP="00260A86">
            <w:pPr>
              <w:rPr>
                <w:bCs/>
                <w:lang w:val="en-GB"/>
              </w:rPr>
            </w:pPr>
          </w:p>
          <w:p w:rsidR="002F56D4" w:rsidRPr="005A064F" w:rsidRDefault="002F56D4" w:rsidP="00260A86">
            <w:pPr>
              <w:rPr>
                <w:bCs/>
                <w:lang w:val="en-GB"/>
              </w:rPr>
            </w:pPr>
          </w:p>
        </w:tc>
      </w:tr>
    </w:tbl>
    <w:p w:rsidR="002F56D4" w:rsidRDefault="002F56D4" w:rsidP="002F56D4">
      <w:pPr>
        <w:rPr>
          <w:b/>
          <w:bCs/>
          <w:lang w:val="en-GB"/>
        </w:rPr>
      </w:pPr>
    </w:p>
    <w:p w:rsidR="002F56D4" w:rsidRDefault="002F56D4" w:rsidP="002F56D4">
      <w:pPr>
        <w:rPr>
          <w:b/>
          <w:bCs/>
        </w:rPr>
      </w:pPr>
    </w:p>
    <w:p w:rsidR="002F56D4" w:rsidRDefault="002F56D4" w:rsidP="002F56D4">
      <w:pPr>
        <w:rPr>
          <w:b/>
          <w:bCs/>
        </w:rPr>
      </w:pPr>
    </w:p>
    <w:p w:rsidR="002F56D4" w:rsidRDefault="002F56D4" w:rsidP="002F56D4">
      <w:pPr>
        <w:rPr>
          <w:b/>
          <w:bCs/>
        </w:rPr>
      </w:pPr>
    </w:p>
    <w:p w:rsidR="002F56D4" w:rsidRDefault="002F56D4" w:rsidP="002F56D4">
      <w:pPr>
        <w:jc w:val="center"/>
        <w:rPr>
          <w:b/>
        </w:rPr>
      </w:pPr>
      <w:r>
        <w:rPr>
          <w:b/>
        </w:rPr>
        <w:t xml:space="preserve">Page 2 of 3 </w:t>
      </w:r>
    </w:p>
    <w:p w:rsidR="002F56D4" w:rsidRPr="00384D75" w:rsidRDefault="002F56D4" w:rsidP="002F56D4">
      <w:pPr>
        <w:rPr>
          <w:b/>
          <w:bCs/>
        </w:rPr>
      </w:pPr>
      <w:r>
        <w:rPr>
          <w:b/>
          <w:bCs/>
        </w:rPr>
        <w:lastRenderedPageBreak/>
        <w:t>In the presence of:</w:t>
      </w:r>
    </w:p>
    <w:p w:rsidR="002F56D4" w:rsidRPr="00384D75" w:rsidRDefault="002F56D4" w:rsidP="002F56D4">
      <w:pPr>
        <w:rPr>
          <w:b/>
          <w:bCs/>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2F56D4" w:rsidRPr="005A064F" w:rsidTr="00260A86">
        <w:trPr>
          <w:trHeight w:val="827"/>
        </w:trPr>
        <w:tc>
          <w:tcPr>
            <w:tcW w:w="8761" w:type="dxa"/>
            <w:shd w:val="clear" w:color="auto" w:fill="auto"/>
          </w:tcPr>
          <w:p w:rsidR="002F56D4" w:rsidRPr="00384D75" w:rsidRDefault="002F56D4" w:rsidP="00260A86">
            <w:r w:rsidRPr="00384D75">
              <w:t>Signature:</w:t>
            </w:r>
          </w:p>
          <w:p w:rsidR="002F56D4" w:rsidRPr="005A064F" w:rsidRDefault="002F56D4" w:rsidP="00260A86">
            <w:pPr>
              <w:rPr>
                <w:bCs/>
                <w:lang w:val="en-GB"/>
              </w:rPr>
            </w:pPr>
          </w:p>
          <w:p w:rsidR="002F56D4" w:rsidRDefault="002F56D4" w:rsidP="00260A86">
            <w:pPr>
              <w:rPr>
                <w:bCs/>
                <w:lang w:val="en-GB"/>
              </w:rPr>
            </w:pPr>
          </w:p>
          <w:p w:rsidR="002F56D4" w:rsidRPr="005A064F" w:rsidRDefault="002F56D4" w:rsidP="00260A86">
            <w:pPr>
              <w:rPr>
                <w:bCs/>
                <w:lang w:val="en-GB"/>
              </w:rPr>
            </w:pPr>
          </w:p>
        </w:tc>
      </w:tr>
      <w:tr w:rsidR="002F56D4" w:rsidRPr="005A064F" w:rsidTr="00260A86">
        <w:trPr>
          <w:trHeight w:val="827"/>
        </w:trPr>
        <w:tc>
          <w:tcPr>
            <w:tcW w:w="8761" w:type="dxa"/>
            <w:shd w:val="clear" w:color="auto" w:fill="auto"/>
          </w:tcPr>
          <w:p w:rsidR="002F56D4" w:rsidRPr="00384D75" w:rsidRDefault="002F56D4" w:rsidP="00260A86">
            <w:r>
              <w:t>Name</w:t>
            </w:r>
            <w:r w:rsidRPr="00384D75">
              <w:t xml:space="preserve">: </w:t>
            </w:r>
          </w:p>
          <w:p w:rsidR="002F56D4" w:rsidRPr="005A064F" w:rsidRDefault="002F56D4" w:rsidP="00260A86">
            <w:pPr>
              <w:rPr>
                <w:bCs/>
                <w:lang w:val="en-GB"/>
              </w:rPr>
            </w:pPr>
          </w:p>
          <w:p w:rsidR="002F56D4" w:rsidRPr="005A064F" w:rsidRDefault="002F56D4" w:rsidP="00260A86">
            <w:pPr>
              <w:rPr>
                <w:bCs/>
                <w:lang w:val="en-GB"/>
              </w:rPr>
            </w:pPr>
          </w:p>
        </w:tc>
      </w:tr>
    </w:tbl>
    <w:p w:rsidR="002F56D4" w:rsidRDefault="002F56D4" w:rsidP="002F56D4">
      <w:pPr>
        <w:rPr>
          <w:b/>
          <w:bCs/>
          <w:lang w:val="en-GB"/>
        </w:rPr>
      </w:pPr>
    </w:p>
    <w:p w:rsidR="002F56D4" w:rsidRDefault="002F56D4" w:rsidP="00370EA4">
      <w:pPr>
        <w:jc w:val="center"/>
        <w:rPr>
          <w:b/>
        </w:rPr>
      </w:pPr>
    </w:p>
    <w:p w:rsidR="002F56D4" w:rsidRDefault="002F56D4" w:rsidP="00370EA4">
      <w:pPr>
        <w:jc w:val="center"/>
        <w:rPr>
          <w:b/>
        </w:rPr>
      </w:pPr>
    </w:p>
    <w:p w:rsidR="002F56D4" w:rsidRDefault="002F56D4" w:rsidP="00370EA4">
      <w:pPr>
        <w:jc w:val="center"/>
        <w:rPr>
          <w:b/>
        </w:rPr>
      </w:pPr>
    </w:p>
    <w:p w:rsidR="002F56D4" w:rsidRDefault="002F56D4" w:rsidP="00370EA4">
      <w:pPr>
        <w:jc w:val="center"/>
        <w:rPr>
          <w:b/>
        </w:rPr>
      </w:pPr>
    </w:p>
    <w:p w:rsidR="002F56D4" w:rsidRDefault="002F56D4" w:rsidP="00370EA4">
      <w:pPr>
        <w:jc w:val="center"/>
        <w:rPr>
          <w:b/>
        </w:rPr>
      </w:pPr>
    </w:p>
    <w:p w:rsidR="002F56D4" w:rsidRDefault="002F56D4" w:rsidP="00370EA4">
      <w:pPr>
        <w:jc w:val="center"/>
        <w:rPr>
          <w:b/>
        </w:rPr>
      </w:pPr>
    </w:p>
    <w:p w:rsidR="002F56D4" w:rsidRDefault="002F56D4" w:rsidP="00370EA4">
      <w:pPr>
        <w:jc w:val="center"/>
        <w:rPr>
          <w:b/>
        </w:rPr>
      </w:pPr>
    </w:p>
    <w:p w:rsidR="002F56D4" w:rsidRDefault="002F56D4" w:rsidP="00370EA4">
      <w:pPr>
        <w:jc w:val="center"/>
        <w:rPr>
          <w:b/>
        </w:rPr>
      </w:pPr>
    </w:p>
    <w:p w:rsidR="002F56D4" w:rsidRDefault="002F56D4" w:rsidP="002F56D4">
      <w:pPr>
        <w:rPr>
          <w:b/>
        </w:rPr>
      </w:pPr>
    </w:p>
    <w:p w:rsidR="002F56D4" w:rsidRDefault="002F56D4" w:rsidP="002F56D4">
      <w:pPr>
        <w:rPr>
          <w:b/>
          <w:bCs/>
          <w:lang w:val="en-GB"/>
        </w:rPr>
      </w:pPr>
    </w:p>
    <w:p w:rsidR="002F56D4" w:rsidRDefault="002F56D4" w:rsidP="002F56D4">
      <w:pPr>
        <w:jc w:val="both"/>
        <w:rPr>
          <w:b/>
          <w:lang w:val="en-GB"/>
        </w:rPr>
      </w:pPr>
      <w:r>
        <w:rPr>
          <w:b/>
          <w:color w:val="FF0000"/>
          <w:lang w:val="en-GB"/>
        </w:rPr>
        <w:t>Government agencies</w:t>
      </w:r>
      <w:r w:rsidRPr="00380B31">
        <w:rPr>
          <w:b/>
          <w:color w:val="FF0000"/>
          <w:lang w:val="en-GB"/>
        </w:rPr>
        <w:t xml:space="preserve"> are to retain completed forms for the entire contract period.</w:t>
      </w:r>
      <w:r>
        <w:rPr>
          <w:b/>
          <w:lang w:val="en-GB"/>
        </w:rPr>
        <w:t xml:space="preserve"> </w:t>
      </w:r>
    </w:p>
    <w:p w:rsidR="002F56D4" w:rsidRPr="00384D75" w:rsidRDefault="002F56D4" w:rsidP="002F56D4">
      <w:pPr>
        <w:rPr>
          <w:b/>
          <w:bCs/>
          <w:lang w:val="en-GB"/>
        </w:rPr>
      </w:pPr>
    </w:p>
    <w:p w:rsidR="002F56D4" w:rsidRDefault="002F56D4" w:rsidP="002F56D4">
      <w:pP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Default="002F56D4" w:rsidP="002F56D4">
      <w:pPr>
        <w:jc w:val="center"/>
        <w:rPr>
          <w:b/>
        </w:rPr>
      </w:pPr>
    </w:p>
    <w:p w:rsidR="002F56D4" w:rsidRPr="00370EA4" w:rsidRDefault="002F56D4" w:rsidP="00924A64">
      <w:pPr>
        <w:jc w:val="center"/>
        <w:rPr>
          <w:b/>
        </w:rPr>
      </w:pPr>
      <w:r>
        <w:rPr>
          <w:b/>
        </w:rPr>
        <w:t xml:space="preserve">Page 3 of 3 </w:t>
      </w:r>
    </w:p>
    <w:sectPr w:rsidR="002F56D4" w:rsidRPr="00370E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F47" w:rsidRDefault="00462F47" w:rsidP="0085366F">
      <w:r>
        <w:separator/>
      </w:r>
    </w:p>
  </w:endnote>
  <w:endnote w:type="continuationSeparator" w:id="0">
    <w:p w:rsidR="00462F47" w:rsidRDefault="00462F47" w:rsidP="0085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F47" w:rsidRDefault="00462F47" w:rsidP="0085366F">
      <w:r>
        <w:separator/>
      </w:r>
    </w:p>
  </w:footnote>
  <w:footnote w:type="continuationSeparator" w:id="0">
    <w:p w:rsidR="00462F47" w:rsidRDefault="00462F47" w:rsidP="0085366F">
      <w:r>
        <w:continuationSeparator/>
      </w:r>
    </w:p>
  </w:footnote>
  <w:footnote w:id="1">
    <w:p w:rsidR="002B22C5" w:rsidRPr="00A71715" w:rsidRDefault="002B22C5" w:rsidP="002B22C5">
      <w:pPr>
        <w:pStyle w:val="FootnoteText"/>
        <w:rPr>
          <w:lang w:val="en-SG"/>
        </w:rPr>
      </w:pPr>
      <w:r>
        <w:rPr>
          <w:rStyle w:val="FootnoteReference"/>
        </w:rPr>
        <w:footnoteRef/>
      </w:r>
      <w:r>
        <w:t xml:space="preserve"> </w:t>
      </w:r>
      <w:r>
        <w:rPr>
          <w:lang w:val="en-SG"/>
        </w:rPr>
        <w:t xml:space="preserve">The Healthier Choice Symbol guidelines can be found here: </w:t>
      </w:r>
      <w:hyperlink r:id="rId1" w:history="1">
        <w:r w:rsidRPr="00C0112F">
          <w:rPr>
            <w:rStyle w:val="Hyperlink"/>
            <w:lang w:val="en-SG"/>
          </w:rPr>
          <w:t>https://www.hpb.gov.sg/docs/default-source/default-document-library/hcs-guidelines-(april-2017)-edited.pdf?sfvrsn=1797eb72_0</w:t>
        </w:r>
      </w:hyperlink>
    </w:p>
  </w:footnote>
  <w:footnote w:id="2">
    <w:p w:rsidR="002F56D4" w:rsidRPr="008C7BC3" w:rsidRDefault="002F56D4" w:rsidP="002F56D4">
      <w:pPr>
        <w:pStyle w:val="FootnoteText"/>
      </w:pPr>
      <w:r w:rsidRPr="008C7BC3">
        <w:rPr>
          <w:rStyle w:val="FootnoteReference"/>
        </w:rPr>
        <w:footnoteRef/>
      </w:r>
      <w:r w:rsidRPr="008C7BC3">
        <w:t xml:space="preserve"> </w:t>
      </w:r>
      <w:r w:rsidRPr="008C7BC3">
        <w:rPr>
          <w:color w:val="000000"/>
          <w:szCs w:val="24"/>
        </w:rPr>
        <w:t>Company, Business, Society or Co-operative registration number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6844"/>
    <w:multiLevelType w:val="hybridMultilevel"/>
    <w:tmpl w:val="1534DD1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5940851"/>
    <w:multiLevelType w:val="hybridMultilevel"/>
    <w:tmpl w:val="7B0E504A"/>
    <w:lvl w:ilvl="0" w:tplc="7FA2E5B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5E647E8"/>
    <w:multiLevelType w:val="hybridMultilevel"/>
    <w:tmpl w:val="E11A51BC"/>
    <w:lvl w:ilvl="0" w:tplc="9CE44FA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 w15:restartNumberingAfterBreak="0">
    <w:nsid w:val="563C157B"/>
    <w:multiLevelType w:val="hybridMultilevel"/>
    <w:tmpl w:val="B08EC538"/>
    <w:lvl w:ilvl="0" w:tplc="5CFC9ED4">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E750767"/>
    <w:multiLevelType w:val="hybridMultilevel"/>
    <w:tmpl w:val="4E7E8AF6"/>
    <w:lvl w:ilvl="0" w:tplc="4809000F">
      <w:start w:val="1"/>
      <w:numFmt w:val="decimal"/>
      <w:lvlText w:val="%1."/>
      <w:lvlJc w:val="left"/>
      <w:pPr>
        <w:ind w:left="1080" w:hanging="360"/>
      </w:pPr>
    </w:lvl>
    <w:lvl w:ilvl="1" w:tplc="48090019">
      <w:start w:val="1"/>
      <w:numFmt w:val="lowerLetter"/>
      <w:lvlText w:val="%2."/>
      <w:lvlJc w:val="left"/>
      <w:pPr>
        <w:ind w:left="36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79E220EC"/>
    <w:multiLevelType w:val="hybridMultilevel"/>
    <w:tmpl w:val="B60441F2"/>
    <w:lvl w:ilvl="0" w:tplc="4874FD8E">
      <w:start w:val="1"/>
      <w:numFmt w:val="lowerLetter"/>
      <w:lvlText w:val="(%1)"/>
      <w:lvlJc w:val="left"/>
      <w:pPr>
        <w:ind w:left="360" w:hanging="360"/>
      </w:pPr>
      <w:rPr>
        <w:rFonts w:ascii="Times New Roman" w:eastAsia="Times New Roma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C5"/>
    <w:rsid w:val="001652D4"/>
    <w:rsid w:val="002B22C5"/>
    <w:rsid w:val="002F56D4"/>
    <w:rsid w:val="00370EA4"/>
    <w:rsid w:val="003C6D08"/>
    <w:rsid w:val="00462F47"/>
    <w:rsid w:val="0070676C"/>
    <w:rsid w:val="007A5401"/>
    <w:rsid w:val="0085366F"/>
    <w:rsid w:val="00896AEC"/>
    <w:rsid w:val="00924A64"/>
    <w:rsid w:val="00A97F61"/>
    <w:rsid w:val="00B30C91"/>
    <w:rsid w:val="00D524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3CBA2-DC8E-4942-BEB8-4DD42D27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2C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6F"/>
    <w:pPr>
      <w:tabs>
        <w:tab w:val="center" w:pos="4513"/>
        <w:tab w:val="right" w:pos="9026"/>
      </w:tabs>
    </w:pPr>
  </w:style>
  <w:style w:type="character" w:customStyle="1" w:styleId="HeaderChar">
    <w:name w:val="Header Char"/>
    <w:basedOn w:val="DefaultParagraphFont"/>
    <w:link w:val="Header"/>
    <w:uiPriority w:val="99"/>
    <w:rsid w:val="0085366F"/>
  </w:style>
  <w:style w:type="paragraph" w:styleId="Footer">
    <w:name w:val="footer"/>
    <w:basedOn w:val="Normal"/>
    <w:link w:val="FooterChar"/>
    <w:uiPriority w:val="99"/>
    <w:unhideWhenUsed/>
    <w:rsid w:val="0085366F"/>
    <w:pPr>
      <w:tabs>
        <w:tab w:val="center" w:pos="4513"/>
        <w:tab w:val="right" w:pos="9026"/>
      </w:tabs>
    </w:pPr>
  </w:style>
  <w:style w:type="character" w:customStyle="1" w:styleId="FooterChar">
    <w:name w:val="Footer Char"/>
    <w:basedOn w:val="DefaultParagraphFont"/>
    <w:link w:val="Footer"/>
    <w:uiPriority w:val="99"/>
    <w:rsid w:val="0085366F"/>
  </w:style>
  <w:style w:type="paragraph" w:styleId="ListParagraph">
    <w:name w:val="List Paragraph"/>
    <w:aliases w:val="RUS List,Noise heading,Credits,alphabet listing,Cell bullets,Text,Number abc,a List Paragraph,Dot pt,List Paragraph1,Colorful List - Accent 11,No Spacing1,List Paragraph Char Char Char,Indicator Text,Numbered Para 1,F5 List Paragraph,T"/>
    <w:basedOn w:val="Normal"/>
    <w:link w:val="ListParagraphChar"/>
    <w:uiPriority w:val="34"/>
    <w:qFormat/>
    <w:rsid w:val="002B22C5"/>
    <w:pPr>
      <w:ind w:left="720"/>
    </w:pPr>
    <w:rPr>
      <w:sz w:val="20"/>
      <w:szCs w:val="20"/>
    </w:rPr>
  </w:style>
  <w:style w:type="character" w:styleId="Hyperlink">
    <w:name w:val="Hyperlink"/>
    <w:uiPriority w:val="99"/>
    <w:unhideWhenUsed/>
    <w:rsid w:val="002B22C5"/>
    <w:rPr>
      <w:color w:val="0000FF"/>
      <w:u w:val="single"/>
    </w:rPr>
  </w:style>
  <w:style w:type="character" w:styleId="FootnoteReference">
    <w:name w:val="footnote reference"/>
    <w:aliases w:val="pre-cab,Ref,de nota al pie,註腳內容,de nota al pie + (Asian) MS Mincho,11 pt,Footnote Reference1,Ref1,de nota al pie1,註?腳Ò®é»,11 p,註?腳內—e,????,-E Fußnotenzeichen,16 Point,Superscript 6 Point,fr,-E Fu§notenzeichen,-E Fuﬂnotenzeichen,11,o"/>
    <w:link w:val="CharChar6CharCharCharCharCharChar"/>
    <w:uiPriority w:val="99"/>
    <w:rsid w:val="002B22C5"/>
    <w:rPr>
      <w:vertAlign w:val="superscript"/>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Arial"/>
    <w:basedOn w:val="Normal"/>
    <w:link w:val="FootnoteTextChar"/>
    <w:uiPriority w:val="99"/>
    <w:unhideWhenUsed/>
    <w:rsid w:val="002B22C5"/>
    <w:rPr>
      <w:sz w:val="20"/>
      <w:szCs w:val="20"/>
      <w:lang w:val="en-AU"/>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Arial Char"/>
    <w:basedOn w:val="DefaultParagraphFont"/>
    <w:link w:val="FootnoteText"/>
    <w:uiPriority w:val="99"/>
    <w:rsid w:val="002B22C5"/>
    <w:rPr>
      <w:rFonts w:ascii="Times New Roman" w:eastAsia="Times New Roman" w:hAnsi="Times New Roman"/>
      <w:lang w:val="en-AU" w:eastAsia="en-US"/>
    </w:rPr>
  </w:style>
  <w:style w:type="character" w:customStyle="1" w:styleId="ListParagraphChar">
    <w:name w:val="List Paragraph Char"/>
    <w:aliases w:val="RUS List Char,Noise heading Char,Credits Char,alphabet listing Char,Cell bullets Char,Text Char,Number abc Char,a List Paragraph Char,Dot pt Char,List Paragraph1 Char,Colorful List - Accent 11 Char,No Spacing1 Char,T Char"/>
    <w:link w:val="ListParagraph"/>
    <w:uiPriority w:val="34"/>
    <w:locked/>
    <w:rsid w:val="002B22C5"/>
    <w:rPr>
      <w:rFonts w:ascii="Times New Roman" w:eastAsia="Times New Roman" w:hAnsi="Times New Roman"/>
      <w:lang w:val="en-US" w:eastAsia="en-US"/>
    </w:rPr>
  </w:style>
  <w:style w:type="paragraph" w:customStyle="1" w:styleId="CharChar6CharCharCharCharCharChar">
    <w:name w:val="Char Char6 Char Char Char Char Char Char"/>
    <w:aliases w:val="Char6 Char Char Char Char Char Char Char"/>
    <w:basedOn w:val="Normal"/>
    <w:link w:val="FootnoteReference"/>
    <w:uiPriority w:val="99"/>
    <w:rsid w:val="002B22C5"/>
    <w:pPr>
      <w:spacing w:line="360" w:lineRule="auto"/>
      <w:jc w:val="center"/>
    </w:pPr>
    <w:rPr>
      <w:rFonts w:ascii="Calibri" w:eastAsiaTheme="minorEastAsia" w:hAnsi="Calibri"/>
      <w:sz w:val="20"/>
      <w:szCs w:val="20"/>
      <w:vertAlign w:val="superscript"/>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hpb.gov.sg/docs/default-source/default-document-library/hcs-guidelines-(april-2017)-edited.pdf?sfvrsn=1797eb72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YEO (HPB)</dc:creator>
  <cp:keywords/>
  <dc:description/>
  <cp:lastModifiedBy>Jo-Ann YEO (HPB)</cp:lastModifiedBy>
  <cp:revision>2</cp:revision>
  <dcterms:created xsi:type="dcterms:W3CDTF">2017-11-13T03:25:00Z</dcterms:created>
  <dcterms:modified xsi:type="dcterms:W3CDTF">2017-11-13T03:25:00Z</dcterms:modified>
</cp:coreProperties>
</file>